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05-0922/1302/2024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86MS0013-01-2024-005585-10</w:t>
      </w:r>
    </w:p>
    <w:p>
      <w:pPr>
        <w:tabs>
          <w:tab w:val="center" w:pos="4677"/>
          <w:tab w:val="left" w:pos="8152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 августа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Целищева Е.А.,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4 статьи 12.7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Целищев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Евгения </w:t>
      </w:r>
      <w:r>
        <w:rPr>
          <w:rFonts w:ascii="Times New Roman" w:eastAsia="Times New Roman" w:hAnsi="Times New Roman" w:cs="Times New Roman"/>
          <w:sz w:val="28"/>
          <w:szCs w:val="28"/>
        </w:rPr>
        <w:t>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 июня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мин.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Таежная, д. 54,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 2.1.1. Правил дорожного движения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4rplc-2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будучи лишенным права управления транспортными средствами, повторно совершил административное правонарушение, предусмотренное частью 2 статьи 12.7 Кодекса Российской Федерации об административных правонарушениях,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Е.А.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содержат признаков уголовно наказуемого деяния. </w:t>
      </w:r>
      <w:r>
        <w:rPr>
          <w:rFonts w:ascii="Times New Roman" w:eastAsia="Times New Roman" w:hAnsi="Times New Roman" w:cs="Times New Roman"/>
          <w:sz w:val="28"/>
          <w:szCs w:val="28"/>
        </w:rPr>
        <w:t>По изложенным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 июня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ОГИБДД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 протокол об административном правонарушении, предусмотренном частью 4 статьи 12.7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во вменённом административном правонарушении признал в полном объеме, в содеянном раскаивается.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Целищева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2 настоящей статьи, если такое действие не содержит признаков уголовно наказуемого деяния, - 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2.1.1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- Правила дорожного движения), водитель механического транспортного средства обязан иметь при себе и по требованию сотрудников полиции передавать им, для проверки, в том числе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Целищева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административного правонарушения, предусмотренного частью 4 статьи 12.7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595727 от 06.06.2024 </w:t>
      </w:r>
      <w:r>
        <w:rPr>
          <w:rFonts w:ascii="Times New Roman" w:eastAsia="Times New Roman" w:hAnsi="Times New Roman" w:cs="Times New Roman"/>
          <w:sz w:val="28"/>
          <w:szCs w:val="28"/>
        </w:rPr>
        <w:t>года об административном правонарушении, предусмотренном ч.4 ст. 12.7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Целищева Е.А.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права, предусмотренные ст. 51 Конституции РФ и ст. 25.1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азъяснены, о чем проставил свою подпись; протоколом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 ПК № 058065 </w:t>
      </w:r>
      <w:r>
        <w:rPr>
          <w:rFonts w:ascii="Times New Roman" w:eastAsia="Times New Roman" w:hAnsi="Times New Roman" w:cs="Times New Roman"/>
          <w:sz w:val="28"/>
          <w:szCs w:val="28"/>
        </w:rPr>
        <w:t>от 06.06.2024 года</w:t>
      </w:r>
      <w:r>
        <w:rPr>
          <w:rFonts w:ascii="Times New Roman" w:eastAsia="Times New Roman" w:hAnsi="Times New Roman" w:cs="Times New Roman"/>
          <w:sz w:val="28"/>
          <w:szCs w:val="28"/>
        </w:rPr>
        <w:t>; протоколом 86 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030632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транспортного средства от </w:t>
      </w:r>
      <w:r>
        <w:rPr>
          <w:rFonts w:ascii="Times New Roman" w:eastAsia="Times New Roman" w:hAnsi="Times New Roman" w:cs="Times New Roman"/>
          <w:sz w:val="28"/>
          <w:szCs w:val="28"/>
        </w:rPr>
        <w:t>06.06.2024 года</w:t>
      </w:r>
      <w:r>
        <w:rPr>
          <w:rFonts w:ascii="Times New Roman" w:eastAsia="Times New Roman" w:hAnsi="Times New Roman" w:cs="Times New Roman"/>
          <w:sz w:val="28"/>
          <w:szCs w:val="28"/>
        </w:rPr>
        <w:t>; рапортом уполномоченного должностного лица;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16.11.2022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и подвергнут административному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средствами на срок один год. Постановление вступило в законную силу; Постановлением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09.10.2023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ризнан виновным в совершении административного правонарушения, предусмотренного ч.2 ст.12.7 КоАП РФ и подвергнут административному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силу; Справкой инспектора ОИАЗ ГИБДД; сведениями из информационной базы данных органов полиции; копиями документов о принадлежности транспортного средства, копией паспорта на имя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Субъектом административного правонарушения, ответственность за которое предусмотрена частью 4 статьи 12.7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является лицо, подвергнутое административному наказанию в виде лишения права управления транспортными средствами, повторно совершившее административное правонарушение, предусмотренное частью 2 статьи 12.7 Кодекса Российской Федерации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Целищев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4 ст. 12.7 КоАП РФ –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однородных административных правонарушений.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Целищев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совершения административного правонарушения, наличие смягчающих и отягчающих ответственность обстоятельств, характер совершённого административного правонарушения, его имущественное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располагает сведениями об уплате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Целищев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допущенные ранее правонарушения.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Целищев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обязательных работ, так как это будет соразмерно целям административного наказания, предусмотренным ч.1 ст.3.1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 3.13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Целищев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является лицом, в отношении которого не может быть избран такой вид административного наказания как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Целищева Евгения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4 статьи 12.7 Кодекса Российской Федерации об административных правонарушениях, и назначить ему административное наказание в виде обязательных работ на срок 150 (сто пятьдесят)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ст. 32.13. Кодекса Российской Федерации об административных правонарушениях: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Виды обязательных работ и перечень организаций, в которых лица, которым назначено административное наказание в виде обязательных работ, </w:t>
      </w:r>
      <w:r>
        <w:rPr>
          <w:rFonts w:ascii="Times New Roman" w:eastAsia="Times New Roman" w:hAnsi="Times New Roman" w:cs="Times New Roman"/>
          <w:sz w:val="28"/>
          <w:szCs w:val="28"/>
        </w:rPr>
        <w:t>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Судебные приставы-исполнители ведут учет лиц, которым назначено административное наказание в виде обязательных работ, разъясняют таким лицам порядок и условия отбывания обязательных работ, согласовывают с органами местного самоуправления перечень организаций, в которых лица, которым назначено административное наказание в виде обязательных работ, отбывают обязательные работы, контролируют поведение таких лиц, ведут суммарный учет отработанного ими времени.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работ.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Время обязательных работ в выходные дни и дни, когда лицо, которому назначено административное наказание в виде обязательных работ, не занято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работе, службе или учебе, не может превышать четырех часов; в рабочие дни - двух часов после окончания работы, службы или учебы. На основании письменного заявления лица, которому назначено административное наказание в виде обязательных работ, максимальное время обязательных работ в выходные дни и дни, когда лицо, которому назначено административное наказание в виде обязательных работ, не занято на основной работе, службе или учебе, судебный пристав-исполнитель вправе увеличить до восьми часов; в рабочие дни - до четырех часов после окончания работы, службы или учебы.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На администрацию организации, в которой лицо, которому назначено административное наказание в виде обязательных работ, отбывает обязательные работы, возлагаются контроль за выполнением этим лицом определенных для него работ, уведомление судебного пристава-исполнителя о количестве отработанных часов или об уклонении лица, которому назначено административное наказание в виде обязательных работ, от отбывания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PassportDatagrp-22rplc-16">
    <w:name w:val="cat-PassportData grp-22 rplc-16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CarMakeModelgrp-24rplc-23">
    <w:name w:val="cat-CarMakeModel grp-24 rplc-23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CarNumbergrp-25rplc-25">
    <w:name w:val="cat-CarNumber grp-2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